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0E" w:rsidRDefault="008202C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1840" cy="1062355"/>
            <wp:effectExtent l="0" t="0" r="0" b="0"/>
            <wp:docPr id="1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8"/>
                    <pic:cNvPicPr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Ztm9Y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IAAAAAAAAAAAAAAAAAAAAAAAAAAAAAAAAAAAAAAAAAAAAACgBAAAiQYAAAAAAAAAAAAAAAAAACgAAAAIAAAAAQAAAAEAAAA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0623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33E0E" w:rsidRDefault="00B33E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B33E0E" w:rsidRDefault="008202C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АДМИНИСТРАЦИЯ</w:t>
      </w:r>
    </w:p>
    <w:p w:rsidR="00B33E0E" w:rsidRDefault="008202CC">
      <w:pPr>
        <w:pStyle w:val="1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КРАСНОАРМЕЙСКОГО МУНИЦИПАЛЬНОГО РАЙОНА </w:t>
      </w:r>
    </w:p>
    <w:p w:rsidR="00B33E0E" w:rsidRDefault="008202CC">
      <w:pPr>
        <w:pStyle w:val="1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</w:rPr>
        <w:t>САРАТОВСКОЙ ОБЛАСТИ</w:t>
      </w:r>
    </w:p>
    <w:p w:rsidR="00B33E0E" w:rsidRDefault="00B33E0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z w:val="28"/>
          <w:szCs w:val="28"/>
        </w:rPr>
      </w:pPr>
    </w:p>
    <w:p w:rsidR="00B33E0E" w:rsidRDefault="008202CC">
      <w:pPr>
        <w:pStyle w:val="2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</w:rPr>
        <w:t>РАСПОРЯЖЕНИЕ</w:t>
      </w:r>
    </w:p>
    <w:p w:rsidR="00B33E0E" w:rsidRDefault="00B33E0E">
      <w:pPr>
        <w:pStyle w:val="ConsPlusTitlePage"/>
        <w:jc w:val="center"/>
      </w:pPr>
    </w:p>
    <w:tbl>
      <w:tblPr>
        <w:tblW w:w="0" w:type="auto"/>
        <w:tblInd w:w="250" w:type="dxa"/>
        <w:tblLayout w:type="fixed"/>
        <w:tblLook w:val="0000"/>
      </w:tblPr>
      <w:tblGrid>
        <w:gridCol w:w="755"/>
        <w:gridCol w:w="2785"/>
        <w:gridCol w:w="540"/>
        <w:gridCol w:w="2115"/>
      </w:tblGrid>
      <w:tr w:rsidR="00E20C7F" w:rsidTr="00A373D2">
        <w:trPr>
          <w:cantSplit/>
          <w:trHeight w:val="276"/>
        </w:trPr>
        <w:tc>
          <w:tcPr>
            <w:tcW w:w="755" w:type="dxa"/>
            <w:vMerge w:val="restart"/>
            <w:shd w:val="clear" w:color="auto" w:fill="auto"/>
            <w:vAlign w:val="bottom"/>
          </w:tcPr>
          <w:p w:rsidR="00E20C7F" w:rsidRDefault="00E20C7F" w:rsidP="00A373D2">
            <w:pPr>
              <w:jc w:val="center"/>
            </w:pPr>
            <w:r>
              <w:rPr>
                <w:rFonts w:ascii="PT Astra Serif" w:hAnsi="PT Astra Serif" w:cs="PT Astra Serif"/>
              </w:rPr>
              <w:t>от</w:t>
            </w:r>
          </w:p>
        </w:tc>
        <w:tc>
          <w:tcPr>
            <w:tcW w:w="2785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20C7F" w:rsidRDefault="00E20C7F" w:rsidP="00A373D2">
            <w:pPr>
              <w:snapToGrid w:val="0"/>
              <w:jc w:val="center"/>
              <w:rPr>
                <w:rFonts w:ascii="PT Astra Serif" w:hAnsi="PT Astra Serif" w:cs="PT Astra Serif"/>
                <w:sz w:val="28"/>
              </w:rPr>
            </w:pPr>
            <w:r>
              <w:rPr>
                <w:rFonts w:ascii="PT Astra Serif" w:hAnsi="PT Astra Serif" w:cs="PT Astra Serif"/>
                <w:sz w:val="28"/>
              </w:rPr>
              <w:t>15 февраля 2024г.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E20C7F" w:rsidRDefault="00E20C7F" w:rsidP="00A373D2"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</w:tc>
        <w:tc>
          <w:tcPr>
            <w:tcW w:w="2115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20C7F" w:rsidRDefault="00E20C7F" w:rsidP="00A373D2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79-р</w:t>
            </w:r>
          </w:p>
        </w:tc>
      </w:tr>
      <w:tr w:rsidR="00E20C7F" w:rsidTr="00A373D2">
        <w:trPr>
          <w:cantSplit/>
          <w:trHeight w:val="322"/>
        </w:trPr>
        <w:tc>
          <w:tcPr>
            <w:tcW w:w="755" w:type="dxa"/>
            <w:vMerge/>
            <w:shd w:val="clear" w:color="auto" w:fill="auto"/>
            <w:vAlign w:val="bottom"/>
          </w:tcPr>
          <w:p w:rsidR="00E20C7F" w:rsidRDefault="00E20C7F" w:rsidP="00A373D2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20C7F" w:rsidRDefault="00E20C7F" w:rsidP="00A373D2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E20C7F" w:rsidRDefault="00E20C7F" w:rsidP="00A373D2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E20C7F" w:rsidRDefault="00E20C7F" w:rsidP="00A373D2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E20C7F" w:rsidRDefault="00E20C7F" w:rsidP="00E20C7F">
      <w:pPr>
        <w:rPr>
          <w:rFonts w:ascii="PT Astra Serif" w:hAnsi="PT Astra Serif" w:cs="PT Astra Serif"/>
          <w:bCs/>
          <w:sz w:val="22"/>
          <w:szCs w:val="22"/>
        </w:rPr>
      </w:pPr>
      <w:r>
        <w:rPr>
          <w:rFonts w:ascii="PT Astra Serif" w:eastAsia="PT Astra Serif" w:hAnsi="PT Astra Serif" w:cs="PT Astra Serif"/>
          <w:bCs/>
        </w:rPr>
        <w:t xml:space="preserve">                                                                                          </w:t>
      </w:r>
      <w:r>
        <w:rPr>
          <w:rFonts w:ascii="PT Astra Serif" w:hAnsi="PT Astra Serif" w:cs="PT Astra Serif"/>
          <w:bCs/>
          <w:sz w:val="22"/>
          <w:szCs w:val="22"/>
        </w:rPr>
        <w:t>г. Красноармейск</w:t>
      </w:r>
    </w:p>
    <w:p w:rsidR="00E20C7F" w:rsidRDefault="00E20C7F">
      <w:pPr>
        <w:pStyle w:val="ConsPlusTitlePage"/>
        <w:jc w:val="center"/>
      </w:pPr>
    </w:p>
    <w:p w:rsidR="00B33E0E" w:rsidRDefault="008202CC">
      <w:pPr>
        <w:pStyle w:val="2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E20C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утверждении </w:t>
      </w:r>
      <w:r w:rsidR="00E20C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внутренних </w:t>
      </w:r>
      <w:r w:rsidR="00E20C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документов, </w:t>
      </w:r>
    </w:p>
    <w:p w:rsidR="00E20C7F" w:rsidRDefault="008202CC">
      <w:pPr>
        <w:pStyle w:val="2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управление</w:t>
      </w:r>
      <w:r w:rsidR="00E20C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рисками нарушения </w:t>
      </w:r>
    </w:p>
    <w:p w:rsidR="00E20C7F" w:rsidRDefault="008202CC">
      <w:pPr>
        <w:pStyle w:val="2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антимонопольного законодательства администрации </w:t>
      </w:r>
    </w:p>
    <w:p w:rsidR="00B33E0E" w:rsidRDefault="000B4B0C">
      <w:pPr>
        <w:pStyle w:val="2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Красноармейского м</w:t>
      </w:r>
      <w:r w:rsidR="008202C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ун</w:t>
      </w:r>
      <w:r w:rsidR="008202C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</w:t>
      </w:r>
      <w:r w:rsidR="008202C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ципального района</w:t>
      </w:r>
    </w:p>
    <w:p w:rsidR="00B33E0E" w:rsidRDefault="008202CC">
      <w:pPr>
        <w:pStyle w:val="2"/>
        <w:keepLines w:val="0"/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B33E0E" w:rsidRDefault="00B33E0E">
      <w:pPr>
        <w:widowControl/>
        <w:ind w:right="5386"/>
        <w:rPr>
          <w:rFonts w:eastAsia="Times New Roman"/>
          <w:sz w:val="28"/>
          <w:szCs w:val="28"/>
        </w:rPr>
      </w:pPr>
    </w:p>
    <w:p w:rsidR="00B33E0E" w:rsidRDefault="008202CC">
      <w:pPr>
        <w:widowControl/>
        <w:tabs>
          <w:tab w:val="left" w:pos="9922"/>
        </w:tabs>
        <w:ind w:right="-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Указом Президента Российской Федерации от 21 дека</w:t>
      </w:r>
      <w:r>
        <w:rPr>
          <w:rFonts w:eastAsia="Times New Roman"/>
          <w:sz w:val="28"/>
          <w:szCs w:val="28"/>
        </w:rPr>
        <w:t>б</w:t>
      </w:r>
      <w:proofErr w:type="gramStart"/>
      <w:r>
        <w:rPr>
          <w:rFonts w:eastAsia="Times New Roman"/>
          <w:sz w:val="28"/>
          <w:szCs w:val="28"/>
        </w:rPr>
        <w:t>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 «Об утверждении методических рекоменд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ций по созданию и организации федеральными органами исполнительной вл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сти системы внутреннего обеспечения требованиям антимонопольного закон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дательства», постановлением администрации Красноармейского муниципал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ного района от 03 декабря 2019 года № 944 «О создании и организации системы внутреннего  обеспечения  соответствия  требованиям</w:t>
      </w:r>
      <w:proofErr w:type="gramEnd"/>
      <w:r>
        <w:rPr>
          <w:rFonts w:eastAsia="Times New Roman"/>
          <w:sz w:val="28"/>
          <w:szCs w:val="28"/>
        </w:rPr>
        <w:t xml:space="preserve">  антимонопольного зак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нодательства (антимонопольного </w:t>
      </w:r>
      <w:proofErr w:type="spellStart"/>
      <w:r>
        <w:rPr>
          <w:rFonts w:eastAsia="Times New Roman"/>
          <w:sz w:val="28"/>
          <w:szCs w:val="28"/>
        </w:rPr>
        <w:t>комплаенса</w:t>
      </w:r>
      <w:proofErr w:type="spellEnd"/>
      <w:r>
        <w:rPr>
          <w:rFonts w:eastAsia="Times New Roman"/>
          <w:sz w:val="28"/>
          <w:szCs w:val="28"/>
        </w:rPr>
        <w:t xml:space="preserve">) </w:t>
      </w:r>
      <w:r>
        <w:rPr>
          <w:sz w:val="28"/>
          <w:szCs w:val="28"/>
        </w:rPr>
        <w:t>в целях дальнейшего соблюдения норм антимонопольного законодательства и предупреждения его нарушения,</w:t>
      </w:r>
    </w:p>
    <w:p w:rsidR="00B33E0E" w:rsidRDefault="008202CC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B33E0E" w:rsidRDefault="008202CC">
      <w:pPr>
        <w:pStyle w:val="20"/>
        <w:shd w:val="clear" w:color="auto" w:fill="auto"/>
        <w:tabs>
          <w:tab w:val="left" w:pos="738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карту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- рисков администрации Красноармейского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Саратовской области согласно приложению 1 к настоящему распоряжению.</w:t>
      </w:r>
    </w:p>
    <w:p w:rsidR="00B33E0E" w:rsidRDefault="008202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(«дорожную карту») по снижению 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- ри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ков администрации  Красноармейского муниципального района Саратовской области на 2024</w:t>
      </w:r>
      <w:r w:rsidR="00CC5A49">
        <w:rPr>
          <w:sz w:val="28"/>
          <w:szCs w:val="28"/>
        </w:rPr>
        <w:t>-2025гг.</w:t>
      </w:r>
      <w:r>
        <w:rPr>
          <w:sz w:val="28"/>
          <w:szCs w:val="28"/>
        </w:rPr>
        <w:t xml:space="preserve"> согласно приложению № 2 к настоящему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B33E0E" w:rsidRDefault="008202C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Структурным подразделениям (управлениям) администрации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муниципального района обеспечить реализацию мер по минимиз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устранению рисков нарушения антимонопольного законодательства,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полнению ключевых </w:t>
      </w:r>
      <w:proofErr w:type="gramStart"/>
      <w:r>
        <w:rPr>
          <w:sz w:val="28"/>
          <w:szCs w:val="28"/>
        </w:rPr>
        <w:t xml:space="preserve">показателей эффективности функционирования системы </w:t>
      </w:r>
      <w:r>
        <w:rPr>
          <w:sz w:val="28"/>
          <w:szCs w:val="28"/>
        </w:rPr>
        <w:lastRenderedPageBreak/>
        <w:t>внутреннего обеспечения соответствия</w:t>
      </w:r>
      <w:proofErr w:type="gramEnd"/>
      <w:r>
        <w:rPr>
          <w:sz w:val="28"/>
          <w:szCs w:val="28"/>
        </w:rPr>
        <w:t xml:space="preserve"> требованиям антимонопольного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деятельности администрации Красноармей</w:t>
      </w:r>
      <w:r w:rsidR="000B4B0C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муниципального района. </w:t>
      </w:r>
    </w:p>
    <w:p w:rsidR="00B33E0E" w:rsidRDefault="008202CC">
      <w:pPr>
        <w:widowControl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распоряжение вступает в силу со дня его подписания и по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лежит опубликованию путем размещения на официальном сайте   администр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ции  Красноармейского муниципального района Саратовской области в инфо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мационно-телекоммуникационной сети «Интернет». </w:t>
      </w:r>
    </w:p>
    <w:p w:rsidR="00B33E0E" w:rsidRDefault="008202CC">
      <w:pPr>
        <w:pStyle w:val="20"/>
        <w:widowControl w:val="0"/>
        <w:shd w:val="clear" w:color="auto" w:fill="auto"/>
        <w:tabs>
          <w:tab w:val="left" w:pos="1023"/>
        </w:tabs>
        <w:spacing w:before="0" w:after="0" w:line="24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вого заместителя главы администрации Красноармейского муниципального района Саратовской области.</w:t>
      </w:r>
    </w:p>
    <w:p w:rsidR="00B33E0E" w:rsidRDefault="00B33E0E">
      <w:pPr>
        <w:widowControl/>
        <w:tabs>
          <w:tab w:val="left" w:pos="709"/>
        </w:tabs>
        <w:jc w:val="both"/>
        <w:rPr>
          <w:rFonts w:eastAsia="Times New Roman"/>
          <w:color w:val="FF0000"/>
          <w:sz w:val="28"/>
          <w:szCs w:val="28"/>
        </w:rPr>
      </w:pPr>
    </w:p>
    <w:p w:rsidR="00B33E0E" w:rsidRDefault="008202CC">
      <w:pPr>
        <w:widowControl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</w:p>
    <w:p w:rsidR="00B33E0E" w:rsidRDefault="008202C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pacing w:val="1"/>
          <w:sz w:val="28"/>
          <w:szCs w:val="28"/>
        </w:rPr>
      </w:pPr>
      <w:r>
        <w:rPr>
          <w:rFonts w:eastAsia="Calibri"/>
          <w:spacing w:val="1"/>
          <w:sz w:val="28"/>
          <w:szCs w:val="28"/>
        </w:rPr>
        <w:t xml:space="preserve"> </w:t>
      </w:r>
    </w:p>
    <w:p w:rsidR="00E20C7F" w:rsidRDefault="00E20C7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pacing w:val="1"/>
          <w:sz w:val="28"/>
          <w:szCs w:val="28"/>
        </w:rPr>
      </w:pPr>
    </w:p>
    <w:p w:rsidR="00E20C7F" w:rsidRDefault="00E20C7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pacing w:val="1"/>
          <w:sz w:val="28"/>
          <w:szCs w:val="28"/>
        </w:rPr>
      </w:pPr>
    </w:p>
    <w:p w:rsidR="00B33E0E" w:rsidRDefault="008202C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pacing w:val="1"/>
          <w:sz w:val="28"/>
          <w:szCs w:val="28"/>
        </w:rPr>
      </w:pPr>
      <w:r>
        <w:rPr>
          <w:rFonts w:eastAsia="Calibri"/>
          <w:spacing w:val="1"/>
          <w:sz w:val="28"/>
          <w:szCs w:val="28"/>
        </w:rPr>
        <w:t xml:space="preserve">Глава </w:t>
      </w:r>
      <w:proofErr w:type="gramStart"/>
      <w:r>
        <w:rPr>
          <w:rFonts w:eastAsia="Calibri"/>
          <w:spacing w:val="1"/>
          <w:sz w:val="28"/>
          <w:szCs w:val="28"/>
        </w:rPr>
        <w:t>Красноармейского</w:t>
      </w:r>
      <w:proofErr w:type="gramEnd"/>
    </w:p>
    <w:p w:rsidR="00B33E0E" w:rsidRDefault="008202C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pacing w:val="1"/>
          <w:sz w:val="28"/>
          <w:szCs w:val="28"/>
        </w:rPr>
      </w:pPr>
      <w:r>
        <w:rPr>
          <w:rFonts w:eastAsia="Calibri"/>
          <w:spacing w:val="1"/>
          <w:sz w:val="28"/>
          <w:szCs w:val="28"/>
        </w:rPr>
        <w:t>муниципального района                                                                         А.И. Зотов</w:t>
      </w:r>
    </w:p>
    <w:p w:rsidR="00B33E0E" w:rsidRDefault="00B33E0E">
      <w:pPr>
        <w:pStyle w:val="ConsPlusNormal"/>
        <w:widowControl/>
        <w:ind w:left="5245"/>
        <w:outlineLvl w:val="0"/>
        <w:rPr>
          <w:color w:val="000000"/>
        </w:rPr>
      </w:pPr>
    </w:p>
    <w:p w:rsidR="00B33E0E" w:rsidRDefault="00B33E0E">
      <w:pPr>
        <w:pStyle w:val="ConsPlusNormal"/>
        <w:widowControl/>
        <w:ind w:left="5245"/>
        <w:outlineLvl w:val="0"/>
        <w:rPr>
          <w:color w:val="000000"/>
        </w:rPr>
      </w:pPr>
    </w:p>
    <w:p w:rsidR="00B33E0E" w:rsidRDefault="00B33E0E">
      <w:pPr>
        <w:pStyle w:val="ConsPlusNormal"/>
        <w:widowControl/>
        <w:ind w:left="5245"/>
        <w:outlineLvl w:val="0"/>
        <w:rPr>
          <w:color w:val="000000"/>
        </w:rPr>
      </w:pPr>
    </w:p>
    <w:p w:rsidR="00B33E0E" w:rsidRDefault="00B33E0E">
      <w:pPr>
        <w:pStyle w:val="ConsPlusNormal"/>
        <w:widowControl/>
        <w:ind w:left="5245"/>
        <w:outlineLvl w:val="0"/>
        <w:rPr>
          <w:color w:val="000000"/>
        </w:rPr>
      </w:pPr>
    </w:p>
    <w:p w:rsidR="00B33E0E" w:rsidRDefault="00B33E0E">
      <w:pPr>
        <w:pStyle w:val="ConsPlusNormal"/>
        <w:widowControl/>
        <w:ind w:left="5245"/>
        <w:outlineLvl w:val="0"/>
        <w:rPr>
          <w:color w:val="000000"/>
        </w:rPr>
      </w:pPr>
    </w:p>
    <w:p w:rsidR="00B33E0E" w:rsidRDefault="00B33E0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  <w:sectPr w:rsidR="00E20C7F" w:rsidSect="00B33E0E">
          <w:endnotePr>
            <w:numFmt w:val="decimal"/>
          </w:endnotePr>
          <w:type w:val="continuous"/>
          <w:pgSz w:w="11907" w:h="16839"/>
          <w:pgMar w:top="1134" w:right="1134" w:bottom="1134" w:left="1134" w:header="0" w:footer="0" w:gutter="0"/>
          <w:cols w:space="720"/>
        </w:sect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№1 </w:t>
      </w:r>
      <w:proofErr w:type="gramStart"/>
      <w:r>
        <w:rPr>
          <w:rFonts w:eastAsia="Calibri"/>
          <w:sz w:val="28"/>
          <w:szCs w:val="28"/>
        </w:rPr>
        <w:t>к</w:t>
      </w:r>
      <w:proofErr w:type="gramEnd"/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распоряжению администрации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Красноармейского муниципального района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От15.02.2024г.№79-р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Карта рисков нарушения антимонопольного законодательства 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</w:t>
      </w:r>
      <w:proofErr w:type="spellStart"/>
      <w:r>
        <w:rPr>
          <w:rFonts w:eastAsia="Calibri"/>
          <w:b/>
          <w:bCs/>
          <w:sz w:val="28"/>
          <w:szCs w:val="28"/>
        </w:rPr>
        <w:t>комплаенс-рисков</w:t>
      </w:r>
      <w:proofErr w:type="spellEnd"/>
      <w:r>
        <w:rPr>
          <w:rFonts w:eastAsia="Calibri"/>
          <w:b/>
          <w:bCs/>
          <w:sz w:val="28"/>
          <w:szCs w:val="28"/>
        </w:rPr>
        <w:t>) администрации Красноармейского муниципального района на 2024-2025гг.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tbl>
      <w:tblPr>
        <w:tblStyle w:val="a5"/>
        <w:tblW w:w="14484" w:type="dxa"/>
        <w:jc w:val="center"/>
        <w:tblLook w:val="04A0"/>
      </w:tblPr>
      <w:tblGrid>
        <w:gridCol w:w="418"/>
        <w:gridCol w:w="2247"/>
        <w:gridCol w:w="2536"/>
        <w:gridCol w:w="2723"/>
        <w:gridCol w:w="2513"/>
        <w:gridCol w:w="2008"/>
        <w:gridCol w:w="2039"/>
      </w:tblGrid>
      <w:tr w:rsidR="00E20C7F" w:rsidTr="00A373D2">
        <w:trPr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Уровень риска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Описание рисков</w:t>
            </w:r>
          </w:p>
        </w:tc>
        <w:tc>
          <w:tcPr>
            <w:tcW w:w="2725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Причины возникнов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ния рисков и их оценка</w:t>
            </w:r>
          </w:p>
        </w:tc>
        <w:tc>
          <w:tcPr>
            <w:tcW w:w="2273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Мероприятия по м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нимизации и устран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нию рисков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Вероятность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повторного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возникновения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рисков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подразделение, при 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полномочий которого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 возникн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вение </w:t>
            </w:r>
            <w:proofErr w:type="spellStart"/>
            <w:r>
              <w:rPr>
                <w:sz w:val="24"/>
                <w:szCs w:val="24"/>
              </w:rPr>
              <w:t>комплаенс-рисков</w:t>
            </w:r>
            <w:proofErr w:type="spellEnd"/>
          </w:p>
        </w:tc>
      </w:tr>
      <w:tr w:rsidR="00E20C7F" w:rsidTr="00A373D2">
        <w:trPr>
          <w:jc w:val="center"/>
        </w:trPr>
        <w:tc>
          <w:tcPr>
            <w:tcW w:w="14484" w:type="dxa"/>
            <w:gridSpan w:val="7"/>
          </w:tcPr>
          <w:p w:rsidR="00E20C7F" w:rsidRDefault="00E20C7F" w:rsidP="00A373D2">
            <w:pPr>
              <w:jc w:val="center"/>
              <w:rPr>
                <w:rStyle w:val="212pt0"/>
                <w:rFonts w:eastAsia="SimSun"/>
              </w:rPr>
            </w:pPr>
            <w:r>
              <w:rPr>
                <w:rStyle w:val="212pt0"/>
                <w:rFonts w:eastAsia="SimSun"/>
              </w:rPr>
              <w:t>В сфере формирования документов стратегического планирования</w:t>
            </w:r>
          </w:p>
        </w:tc>
      </w:tr>
      <w:tr w:rsidR="00E20C7F" w:rsidTr="00A373D2">
        <w:trPr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Существенный</w:t>
            </w:r>
          </w:p>
        </w:tc>
        <w:tc>
          <w:tcPr>
            <w:tcW w:w="2550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Разработка докуме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тов системы стратег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ческого планирования и НПА  с нарушени</w:t>
            </w:r>
            <w:r>
              <w:rPr>
                <w:rStyle w:val="212pt"/>
              </w:rPr>
              <w:t>я</w:t>
            </w:r>
            <w:r>
              <w:rPr>
                <w:rStyle w:val="212pt"/>
              </w:rPr>
              <w:t>ми антимонопольного законодательства, с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 xml:space="preserve">держащими </w:t>
            </w:r>
            <w:proofErr w:type="gramStart"/>
            <w:r>
              <w:rPr>
                <w:rStyle w:val="212pt"/>
              </w:rPr>
              <w:t>дискр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минационное</w:t>
            </w:r>
            <w:proofErr w:type="gramEnd"/>
            <w:r>
              <w:rPr>
                <w:rStyle w:val="212pt"/>
              </w:rPr>
              <w:t xml:space="preserve"> условия для хозяйствующих субъектов</w:t>
            </w:r>
          </w:p>
        </w:tc>
        <w:tc>
          <w:tcPr>
            <w:tcW w:w="2725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Недостаточное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знание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действующего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Style w:val="212pt"/>
              </w:rPr>
            </w:pPr>
            <w:r>
              <w:rPr>
                <w:rStyle w:val="212pt"/>
              </w:rPr>
              <w:t>законодательства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Несвоевременное о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>слеживание изменений законодательства</w:t>
            </w:r>
          </w:p>
        </w:tc>
        <w:tc>
          <w:tcPr>
            <w:tcW w:w="2273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Соблюдение админ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стративных регламе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тов, порядков и пол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жений при разработке проектов НПА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Проведение правовой экспертизы проектов НПА на предмет с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ответствия антимон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польному законод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тельству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Проведение засед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 xml:space="preserve">ний рабочих групп, </w:t>
            </w:r>
            <w:r>
              <w:rPr>
                <w:rStyle w:val="212pt"/>
              </w:rPr>
              <w:lastRenderedPageBreak/>
              <w:t>советов и сессий по вопросам разработки и исполнения док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>ментов стратегич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ского планирования</w:t>
            </w:r>
          </w:p>
        </w:tc>
        <w:tc>
          <w:tcPr>
            <w:tcW w:w="206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налоговой политики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сового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КМР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</w:tr>
      <w:tr w:rsidR="00E20C7F" w:rsidTr="00A373D2">
        <w:trPr>
          <w:jc w:val="center"/>
        </w:trPr>
        <w:tc>
          <w:tcPr>
            <w:tcW w:w="144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 сфере инвестиционной и  предпринимательской  деятельности</w:t>
            </w:r>
          </w:p>
        </w:tc>
      </w:tr>
      <w:tr w:rsidR="00E20C7F" w:rsidTr="00A373D2">
        <w:trPr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Существенный</w:t>
            </w:r>
          </w:p>
        </w:tc>
        <w:tc>
          <w:tcPr>
            <w:tcW w:w="2550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Разработка НПА, </w:t>
            </w:r>
            <w:proofErr w:type="gramStart"/>
            <w:r>
              <w:rPr>
                <w:rStyle w:val="212pt"/>
              </w:rPr>
              <w:t>з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трагивающих</w:t>
            </w:r>
            <w:proofErr w:type="gramEnd"/>
            <w:r>
              <w:rPr>
                <w:rStyle w:val="212pt"/>
              </w:rPr>
              <w:t xml:space="preserve"> вопр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сы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инвестиционной и предпринимательской деятельности с нар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>шениями, вводящими избыточные обяза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ности, запреты и о</w:t>
            </w:r>
            <w:r>
              <w:rPr>
                <w:rStyle w:val="212pt"/>
              </w:rPr>
              <w:t>г</w:t>
            </w:r>
            <w:r>
              <w:rPr>
                <w:rStyle w:val="212pt"/>
              </w:rPr>
              <w:t>раничения для хозя</w:t>
            </w:r>
            <w:r>
              <w:rPr>
                <w:rStyle w:val="212pt"/>
              </w:rPr>
              <w:t>й</w:t>
            </w:r>
            <w:r>
              <w:rPr>
                <w:rStyle w:val="212pt"/>
              </w:rPr>
              <w:t>ствующих субъектов</w:t>
            </w: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</w:tc>
        <w:tc>
          <w:tcPr>
            <w:tcW w:w="2725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Недостаточное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знание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действующего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Style w:val="212pt"/>
              </w:rPr>
            </w:pPr>
            <w:r>
              <w:rPr>
                <w:rStyle w:val="212pt"/>
              </w:rPr>
              <w:t>законодательства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Несоблюдение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12pt"/>
              </w:rPr>
              <w:t>установленных</w:t>
            </w:r>
            <w:proofErr w:type="gramEnd"/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процедур</w:t>
            </w:r>
          </w:p>
        </w:tc>
        <w:tc>
          <w:tcPr>
            <w:tcW w:w="2273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Проведение оценки регулирующего во</w:t>
            </w:r>
            <w:r>
              <w:rPr>
                <w:rStyle w:val="212pt"/>
              </w:rPr>
              <w:t>з</w:t>
            </w:r>
            <w:r>
              <w:rPr>
                <w:rStyle w:val="212pt"/>
              </w:rPr>
              <w:t>действия проектов нормативно-правовых актов и экспертизы нормативно-правовых актов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Обеспечение ведения на официальном са</w:t>
            </w:r>
            <w:r>
              <w:rPr>
                <w:rStyle w:val="212pt"/>
              </w:rPr>
              <w:t>й</w:t>
            </w:r>
            <w:r>
              <w:rPr>
                <w:rStyle w:val="212pt"/>
              </w:rPr>
              <w:t>те Администрации раздела «Оценка р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гулирующего возде</w:t>
            </w:r>
            <w:r>
              <w:rPr>
                <w:rStyle w:val="212pt"/>
              </w:rPr>
              <w:t>й</w:t>
            </w:r>
            <w:r>
              <w:rPr>
                <w:rStyle w:val="212pt"/>
              </w:rPr>
              <w:t>ствия проектов НПА и экспертиза НПА»</w:t>
            </w: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</w:tc>
        <w:tc>
          <w:tcPr>
            <w:tcW w:w="206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налоговой политики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сового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КМР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</w:tr>
      <w:tr w:rsidR="00E20C7F" w:rsidTr="00A373D2">
        <w:trPr>
          <w:jc w:val="center"/>
        </w:trPr>
        <w:tc>
          <w:tcPr>
            <w:tcW w:w="14484" w:type="dxa"/>
            <w:gridSpan w:val="7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</w:tc>
      </w:tr>
      <w:tr w:rsidR="00E20C7F" w:rsidTr="00A373D2">
        <w:trPr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Высокий</w:t>
            </w:r>
          </w:p>
        </w:tc>
        <w:tc>
          <w:tcPr>
            <w:tcW w:w="2550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Нарушение антим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нопольного законод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тельства при осущ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ствлении закупок т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варов, работ, услуг для обеспечения м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lastRenderedPageBreak/>
              <w:t>ниципальных нужд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Ограничение колич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ства участников з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купки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Совершение    коми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сией  по  осуществл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 xml:space="preserve">нию закупок действий 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12pt"/>
              </w:rPr>
              <w:t>ограничивающих</w:t>
            </w:r>
            <w:proofErr w:type="gramEnd"/>
            <w:r>
              <w:rPr>
                <w:rStyle w:val="212pt"/>
              </w:rPr>
              <w:t xml:space="preserve">  конкуренцию</w:t>
            </w:r>
            <w:r>
              <w:rPr>
                <w:sz w:val="24"/>
                <w:szCs w:val="24"/>
              </w:rPr>
              <w:t xml:space="preserve"> 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  <w:r>
              <w:rPr>
                <w:rStyle w:val="212pt"/>
                <w:rFonts w:eastAsia="SimSun"/>
              </w:rPr>
              <w:lastRenderedPageBreak/>
              <w:t>Отсутствие надлеж</w:t>
            </w:r>
            <w:r>
              <w:rPr>
                <w:rStyle w:val="212pt"/>
                <w:rFonts w:eastAsia="SimSun"/>
              </w:rPr>
              <w:t>а</w:t>
            </w:r>
            <w:r>
              <w:rPr>
                <w:rStyle w:val="212pt"/>
                <w:rFonts w:eastAsia="SimSun"/>
              </w:rPr>
              <w:t>щей экспертизы док</w:t>
            </w:r>
            <w:r>
              <w:rPr>
                <w:rStyle w:val="212pt"/>
                <w:rFonts w:eastAsia="SimSun"/>
              </w:rPr>
              <w:t>у</w:t>
            </w:r>
            <w:r>
              <w:rPr>
                <w:rStyle w:val="212pt"/>
                <w:rFonts w:eastAsia="SimSun"/>
              </w:rPr>
              <w:t>ментации закупки</w:t>
            </w: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откл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нение заявок.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Необоснованные изм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нения условий контра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та.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Запрос недопустимых и/или необъявленных документов и сведений при заключении ко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тракта.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описание объекта закупки треб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ваний об оказании у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луг, ограничивающих участие других поста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щиков.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зав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>шение (снижение) 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чальной (максимал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ной) цены контракта.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Затягивание (ускорение) заключения контракта.</w:t>
            </w: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</w:p>
        </w:tc>
        <w:tc>
          <w:tcPr>
            <w:tcW w:w="2273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Регулярное обучение сотрудников, пов</w:t>
            </w:r>
            <w:r>
              <w:rPr>
                <w:rStyle w:val="212pt"/>
              </w:rPr>
              <w:t>ы</w:t>
            </w:r>
            <w:r>
              <w:rPr>
                <w:rStyle w:val="212pt"/>
              </w:rPr>
              <w:t>шение професси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нальной квалифик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ции сотрудников в  сфере  закупок,  чл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lastRenderedPageBreak/>
              <w:t>нов  комиссии по з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купкам (самообраз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вание, повышение квалификации, обр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зовательные мер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приятия)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подготовкой закупо</w:t>
            </w:r>
            <w:r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eastAsia="Times New Roman"/>
                <w:sz w:val="24"/>
                <w:szCs w:val="24"/>
              </w:rPr>
              <w:t>ной документации на стадии согласования.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Изучение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правоприменительной практики и монит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ринг изменений зак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нодательства</w:t>
            </w:r>
          </w:p>
        </w:tc>
        <w:tc>
          <w:tcPr>
            <w:tcW w:w="206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закупок администрации КМР</w:t>
            </w:r>
          </w:p>
        </w:tc>
      </w:tr>
      <w:tr w:rsidR="00E20C7F" w:rsidTr="00A373D2">
        <w:trPr>
          <w:trHeight w:val="245"/>
          <w:jc w:val="center"/>
        </w:trPr>
        <w:tc>
          <w:tcPr>
            <w:tcW w:w="14484" w:type="dxa"/>
            <w:gridSpan w:val="7"/>
          </w:tcPr>
          <w:p w:rsidR="00E20C7F" w:rsidRDefault="00E20C7F" w:rsidP="00A373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 сфере принятия решения о проведении торгов в соответствии с земельных законодательством</w:t>
            </w:r>
            <w:proofErr w:type="gramEnd"/>
          </w:p>
        </w:tc>
      </w:tr>
      <w:tr w:rsidR="00E20C7F" w:rsidTr="00A373D2">
        <w:trPr>
          <w:trHeight w:val="245"/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550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 конк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ренции при принятии решения о провед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нии торгов по прод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же: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права на заключение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договора аренды з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мельного участка;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права на заключение договора купли-продажи земельного участка</w:t>
            </w:r>
          </w:p>
        </w:tc>
        <w:tc>
          <w:tcPr>
            <w:tcW w:w="2725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Выявление условий для принятия решения о проведен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кциона на основании заявления о предоставлении з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мельного участка.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 выполнения необходимых условий в соответствии с полож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ниями Земельного к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декса Российской Фед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рации.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договора аренды (купли-продажи) земельного участка, по которым выступает уполном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ченным органом в 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рушение действующего законодательства</w:t>
            </w:r>
          </w:p>
        </w:tc>
        <w:tc>
          <w:tcPr>
            <w:tcW w:w="2273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Разъяснения муниц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пальным служащим: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 обязанности 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замедлительно соо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щить представителю нанимателя о склон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нии его к совершению коррупционного пр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вонарушения,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 мерах ответстве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ности за совершение коррупционных пр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вонарушений.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кации работников.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ственным и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мельным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КМР</w:t>
            </w:r>
          </w:p>
        </w:tc>
      </w:tr>
      <w:tr w:rsidR="00E20C7F" w:rsidTr="00A373D2">
        <w:trPr>
          <w:trHeight w:val="245"/>
          <w:jc w:val="center"/>
        </w:trPr>
        <w:tc>
          <w:tcPr>
            <w:tcW w:w="14484" w:type="dxa"/>
            <w:gridSpan w:val="7"/>
          </w:tcPr>
          <w:p w:rsidR="00E20C7F" w:rsidRDefault="00E20C7F" w:rsidP="00A373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 сфере принятия решения о передаче (согласовании передачи) муниципального имущества в пользование</w:t>
            </w:r>
          </w:p>
        </w:tc>
      </w:tr>
      <w:tr w:rsidR="00E20C7F" w:rsidTr="00A373D2">
        <w:trPr>
          <w:trHeight w:val="245"/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550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Нарушение порядка рассмотрения док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ментов, направленных юридическими и ф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зическими лицами для предоставления (согласования предо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тавления) муниц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пального имущества в пользование.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за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>вителями ложных сведений</w:t>
            </w:r>
          </w:p>
        </w:tc>
        <w:tc>
          <w:tcPr>
            <w:tcW w:w="2725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решения о предоставлении (согл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совании предоставл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ния) муниципального имущества в пользов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ние юридическим и ф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зическим лицам не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ответствующего Фед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ральному закону от 26.07.2006 № 135-ФЗ «О защите конкуре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ции»</w:t>
            </w:r>
          </w:p>
        </w:tc>
        <w:tc>
          <w:tcPr>
            <w:tcW w:w="2273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Регулярное обучение сотрудников (самоо</w:t>
            </w: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разование, повыш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ние квалификации, образовательные м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роприятия – семин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т.п.).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Периодическое обс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ждение на общих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браниях сотрудников «отрицательной» практики.</w:t>
            </w: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 по имущ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ственным и з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мельным вопр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сам администр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ции КМР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20C7F" w:rsidTr="00A373D2">
        <w:trPr>
          <w:trHeight w:val="245"/>
          <w:jc w:val="center"/>
        </w:trPr>
        <w:tc>
          <w:tcPr>
            <w:tcW w:w="14484" w:type="dxa"/>
            <w:gridSpan w:val="7"/>
          </w:tcPr>
          <w:p w:rsidR="00E20C7F" w:rsidRDefault="00E20C7F" w:rsidP="00A37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сфере  предоставления государственных и муниципальных услуг</w:t>
            </w:r>
          </w:p>
        </w:tc>
      </w:tr>
      <w:tr w:rsidR="00E20C7F" w:rsidTr="00A373D2">
        <w:trPr>
          <w:trHeight w:val="245"/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Существенный</w:t>
            </w:r>
          </w:p>
        </w:tc>
        <w:tc>
          <w:tcPr>
            <w:tcW w:w="2550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Истребование док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lastRenderedPageBreak/>
              <w:t>ментов, непредусмо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>ренных действующим законодательством при оказании мун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ципальных услуг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 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>Нарушение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>единообразия,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предоставление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преимуществ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отдельным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ind w:left="34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хозяйствующим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субъектам.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Несоблюдение устано</w:t>
            </w:r>
            <w:r>
              <w:rPr>
                <w:rStyle w:val="212pt"/>
              </w:rPr>
              <w:t>в</w:t>
            </w:r>
            <w:r>
              <w:rPr>
                <w:rStyle w:val="212pt"/>
              </w:rPr>
              <w:t>ленных процедур.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Недостаточная квал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фикация и опыт сотру</w:t>
            </w:r>
            <w:r>
              <w:rPr>
                <w:rStyle w:val="212pt"/>
              </w:rPr>
              <w:t>д</w:t>
            </w:r>
            <w:r>
              <w:rPr>
                <w:rStyle w:val="212pt"/>
              </w:rPr>
              <w:t>ников.</w:t>
            </w:r>
          </w:p>
        </w:tc>
        <w:tc>
          <w:tcPr>
            <w:tcW w:w="2273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Соблюдение админ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lastRenderedPageBreak/>
              <w:t>стративных регламе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тов; мониторинг и анализ выявленных нарушений</w:t>
            </w:r>
          </w:p>
        </w:tc>
        <w:tc>
          <w:tcPr>
            <w:tcW w:w="206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 xml:space="preserve">Остаточный риск </w:t>
            </w:r>
            <w:r>
              <w:rPr>
                <w:rStyle w:val="212pt"/>
              </w:rPr>
              <w:lastRenderedPageBreak/>
              <w:t>сохраняется, но снижается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разования,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нансовое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ление,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тельству, ЖКХ и субсидиям, Управление по правовым,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щественным и земельным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просам, отдел социальной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литике, охране труда и трудовым отношениям</w:t>
            </w:r>
          </w:p>
        </w:tc>
      </w:tr>
      <w:tr w:rsidR="00E20C7F" w:rsidTr="00A373D2">
        <w:trPr>
          <w:trHeight w:val="211"/>
          <w:jc w:val="center"/>
        </w:trPr>
        <w:tc>
          <w:tcPr>
            <w:tcW w:w="14484" w:type="dxa"/>
            <w:gridSpan w:val="7"/>
          </w:tcPr>
          <w:p w:rsidR="00E20C7F" w:rsidRDefault="00E20C7F" w:rsidP="00A373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Риски при разработке и принятии нормативных правовых актов</w:t>
            </w:r>
          </w:p>
        </w:tc>
      </w:tr>
      <w:tr w:rsidR="00E20C7F" w:rsidTr="00A373D2">
        <w:trPr>
          <w:trHeight w:val="245"/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</w:pPr>
            <w:r>
              <w:t>7</w:t>
            </w: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Существенный</w:t>
            </w:r>
          </w:p>
        </w:tc>
        <w:tc>
          <w:tcPr>
            <w:tcW w:w="2550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в актах п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ложений, которые приводят или могут привести к недопущ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нию, ограничению, устранению конк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ренции, за исключ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нием предусмотре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ных федеральными законами случаев принятия актов</w:t>
            </w:r>
          </w:p>
        </w:tc>
        <w:tc>
          <w:tcPr>
            <w:tcW w:w="2725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Некачественное пров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дение правовых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экспе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тиз, в том числе в части соответствия проекта акта требованиям ант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монопольного закон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дательства.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достато</w:t>
            </w:r>
            <w:r>
              <w:rPr>
                <w:rFonts w:eastAsia="Times New Roman"/>
                <w:sz w:val="24"/>
                <w:szCs w:val="24"/>
              </w:rPr>
              <w:t>ч</w:t>
            </w:r>
            <w:r>
              <w:rPr>
                <w:rFonts w:eastAsia="Times New Roman"/>
                <w:sz w:val="24"/>
                <w:szCs w:val="24"/>
              </w:rPr>
              <w:t>ной квалификации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трудников.</w:t>
            </w:r>
          </w:p>
          <w:p w:rsidR="00E20C7F" w:rsidRDefault="00E20C7F" w:rsidP="00A373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и анализ практики применения антимонопольного законодательства, при необходимости ин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циирование внесения необходимых измен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ний.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правовой экспертизы в отнош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нии нормативных а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тов,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экспертизы в о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ношении проектов нормативных прав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вых актов.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Обеспечение разм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щения на официал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ном сайте муниц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пального образования и СМИ проекта но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мативного правового акта.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сбора и проведение оценки поступивших от о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ганизаций и граждан замечаний и предл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жений по проекту нормативного прав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вого акта</w:t>
            </w:r>
          </w:p>
        </w:tc>
        <w:tc>
          <w:tcPr>
            <w:tcW w:w="2069" w:type="dxa"/>
          </w:tcPr>
          <w:p w:rsidR="00E20C7F" w:rsidRDefault="00E20C7F" w:rsidP="00A373D2">
            <w:r>
              <w:lastRenderedPageBreak/>
              <w:t>Отсутствует</w:t>
            </w:r>
          </w:p>
        </w:tc>
        <w:tc>
          <w:tcPr>
            <w:tcW w:w="2069" w:type="dxa"/>
          </w:tcPr>
          <w:p w:rsidR="00E20C7F" w:rsidRDefault="00E20C7F" w:rsidP="00A373D2">
            <w:r>
              <w:t>Отдел по правовым вопросам</w:t>
            </w:r>
          </w:p>
        </w:tc>
      </w:tr>
      <w:tr w:rsidR="00E20C7F" w:rsidTr="00A373D2">
        <w:trPr>
          <w:trHeight w:val="245"/>
          <w:jc w:val="center"/>
        </w:trPr>
        <w:tc>
          <w:tcPr>
            <w:tcW w:w="437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№2 </w:t>
      </w:r>
      <w:proofErr w:type="gramStart"/>
      <w:r>
        <w:rPr>
          <w:rFonts w:eastAsia="Calibri"/>
          <w:sz w:val="28"/>
          <w:szCs w:val="28"/>
        </w:rPr>
        <w:t>к</w:t>
      </w:r>
      <w:proofErr w:type="gramEnd"/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распоряжению администрации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Красноармейского муниципального района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от__________ №_____</w:t>
      </w: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 xml:space="preserve"> - риски) администрации Кра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ноармейского муниципального  района на 2024-2025гг.</w:t>
      </w: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tbl>
      <w:tblPr>
        <w:tblStyle w:val="a5"/>
        <w:tblW w:w="14493" w:type="dxa"/>
        <w:jc w:val="center"/>
        <w:tblLook w:val="04A0"/>
      </w:tblPr>
      <w:tblGrid>
        <w:gridCol w:w="596"/>
        <w:gridCol w:w="2937"/>
        <w:gridCol w:w="3705"/>
        <w:gridCol w:w="2475"/>
        <w:gridCol w:w="1744"/>
        <w:gridCol w:w="3036"/>
      </w:tblGrid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jc w:val="center"/>
            </w:pPr>
            <w:r>
              <w:t>№</w:t>
            </w:r>
          </w:p>
        </w:tc>
        <w:tc>
          <w:tcPr>
            <w:tcW w:w="293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действий (ри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ков)</w:t>
            </w:r>
          </w:p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Мероприятие</w:t>
            </w: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Показатель</w:t>
            </w:r>
          </w:p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(Ожидаемый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тат)</w:t>
            </w:r>
          </w:p>
        </w:tc>
        <w:tc>
          <w:tcPr>
            <w:tcW w:w="1746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Срок</w:t>
            </w:r>
          </w:p>
        </w:tc>
        <w:tc>
          <w:tcPr>
            <w:tcW w:w="304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Ответственный</w:t>
            </w: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0"/>
              </w:rPr>
            </w:pPr>
            <w:r>
              <w:rPr>
                <w:rStyle w:val="212pt0"/>
              </w:rPr>
              <w:t>1. В сфере формирования документов стратегического планирования</w:t>
            </w:r>
          </w:p>
        </w:tc>
      </w:tr>
      <w:tr w:rsidR="00E20C7F" w:rsidTr="00A373D2">
        <w:trPr>
          <w:trHeight w:val="2653"/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>
            <w:pPr>
              <w:rPr>
                <w:sz w:val="24"/>
                <w:szCs w:val="24"/>
              </w:rPr>
            </w:pPr>
          </w:p>
          <w:p w:rsidR="00E20C7F" w:rsidRDefault="00E20C7F" w:rsidP="00A373D2"/>
          <w:p w:rsidR="00E20C7F" w:rsidRDefault="00E20C7F" w:rsidP="00A373D2"/>
          <w:p w:rsidR="00E20C7F" w:rsidRDefault="00E20C7F" w:rsidP="00A373D2"/>
          <w:p w:rsidR="00E20C7F" w:rsidRDefault="00E20C7F" w:rsidP="00A373D2"/>
          <w:p w:rsidR="00E20C7F" w:rsidRDefault="00E20C7F" w:rsidP="00A373D2"/>
          <w:p w:rsidR="00E20C7F" w:rsidRDefault="00E20C7F" w:rsidP="00A373D2"/>
        </w:tc>
        <w:tc>
          <w:tcPr>
            <w:tcW w:w="2939" w:type="dxa"/>
            <w:vMerge w:val="restart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ind w:right="152"/>
              <w:jc w:val="center"/>
              <w:rPr>
                <w:rStyle w:val="212pt"/>
              </w:rPr>
            </w:pPr>
            <w:r>
              <w:rPr>
                <w:rStyle w:val="212pt"/>
              </w:rPr>
              <w:t>Разработка документов системы стратегическ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го планирования и  НПА с нарушениями антим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нопольного законод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тельства, содержащими дискриминационные у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ловия для хозяйству</w:t>
            </w:r>
            <w:r>
              <w:rPr>
                <w:rStyle w:val="212pt"/>
              </w:rPr>
              <w:t>ю</w:t>
            </w:r>
            <w:r>
              <w:rPr>
                <w:rStyle w:val="212pt"/>
              </w:rPr>
              <w:t>щих - субъектов</w:t>
            </w:r>
          </w:p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Соблюдение административных регламентов, порядков и полож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ний при разработке проектов НПА</w:t>
            </w:r>
          </w:p>
          <w:p w:rsidR="00E20C7F" w:rsidRDefault="00E20C7F" w:rsidP="00A373D2">
            <w:pPr>
              <w:rPr>
                <w:rStyle w:val="212pt"/>
                <w:rFonts w:eastAsia="SimSun"/>
              </w:rPr>
            </w:pP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Отсутствие в док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>ментах стратегич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ского планирования положений, созда</w:t>
            </w:r>
            <w:r>
              <w:rPr>
                <w:rStyle w:val="212pt"/>
              </w:rPr>
              <w:t>ю</w:t>
            </w:r>
            <w:r>
              <w:rPr>
                <w:rStyle w:val="212pt"/>
              </w:rPr>
              <w:t>щих дискриминац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онные условия для хозяйствующих суб</w:t>
            </w:r>
            <w:r>
              <w:rPr>
                <w:rStyle w:val="212pt"/>
              </w:rPr>
              <w:t>ъ</w:t>
            </w:r>
            <w:r>
              <w:rPr>
                <w:rStyle w:val="212pt"/>
              </w:rPr>
              <w:t>ектов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Структурные подраздел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ния Администрации, о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>ветственные за разработку документов стратегическ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го планирования</w:t>
            </w:r>
          </w:p>
          <w:p w:rsidR="00E20C7F" w:rsidRDefault="00E20C7F" w:rsidP="00A373D2">
            <w:pPr>
              <w:rPr>
                <w:rStyle w:val="212pt"/>
                <w:rFonts w:eastAsia="SimSun"/>
              </w:rPr>
            </w:pPr>
          </w:p>
          <w:p w:rsidR="00E20C7F" w:rsidRDefault="00E20C7F" w:rsidP="00A373D2">
            <w:pPr>
              <w:rPr>
                <w:rStyle w:val="212pt"/>
                <w:rFonts w:eastAsia="SimSun"/>
              </w:rPr>
            </w:pPr>
          </w:p>
          <w:p w:rsidR="00E20C7F" w:rsidRDefault="00E20C7F" w:rsidP="00A373D2"/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Проведение правовой экспертизы проектов НПА на предмет соо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 xml:space="preserve">ветствия </w:t>
            </w:r>
            <w:proofErr w:type="gramStart"/>
            <w:r>
              <w:rPr>
                <w:rStyle w:val="212pt"/>
              </w:rPr>
              <w:t>антимонопольному</w:t>
            </w:r>
            <w:proofErr w:type="gramEnd"/>
            <w:r>
              <w:rPr>
                <w:rStyle w:val="212pt"/>
              </w:rPr>
              <w:t xml:space="preserve"> 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законодательств</w:t>
            </w: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Выявление и сниж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ние рисков, недоп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 xml:space="preserve">щение нарушений </w:t>
            </w:r>
            <w:proofErr w:type="gramStart"/>
            <w:r>
              <w:rPr>
                <w:rStyle w:val="212pt"/>
              </w:rPr>
              <w:t>антимонопольного</w:t>
            </w:r>
            <w:proofErr w:type="gramEnd"/>
            <w:r>
              <w:rPr>
                <w:rStyle w:val="212pt"/>
              </w:rPr>
              <w:t xml:space="preserve"> 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законодательства</w:t>
            </w:r>
          </w:p>
          <w:p w:rsidR="00E20C7F" w:rsidRDefault="00E20C7F" w:rsidP="00A373D2">
            <w:pPr>
              <w:jc w:val="center"/>
            </w:pP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  <w:r>
              <w:rPr>
                <w:rStyle w:val="212pt"/>
                <w:rFonts w:eastAsia="SimSun"/>
              </w:rPr>
              <w:t>Отдел пол правовым в</w:t>
            </w:r>
            <w:r>
              <w:rPr>
                <w:rStyle w:val="212pt"/>
                <w:rFonts w:eastAsia="SimSun"/>
              </w:rPr>
              <w:t>о</w:t>
            </w:r>
            <w:r>
              <w:rPr>
                <w:rStyle w:val="212pt"/>
                <w:rFonts w:eastAsia="SimSun"/>
              </w:rPr>
              <w:t>просам</w:t>
            </w:r>
          </w:p>
          <w:p w:rsidR="00E20C7F" w:rsidRDefault="00E20C7F" w:rsidP="00A373D2">
            <w:pPr>
              <w:jc w:val="center"/>
            </w:pP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Проведение заседаний комиссий их рабочих групп  по вопросам разработки и исполнения док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>ментов стратегического планир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вания</w:t>
            </w: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Повышение осведо</w:t>
            </w:r>
            <w:r>
              <w:rPr>
                <w:rStyle w:val="212pt"/>
              </w:rPr>
              <w:t>м</w:t>
            </w:r>
            <w:r>
              <w:rPr>
                <w:rStyle w:val="212pt"/>
              </w:rPr>
              <w:t>лённости сотрудн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ков о положениях з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конодательства в сфере стратегическ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го планирования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20C7F" w:rsidRDefault="00E20C7F" w:rsidP="00A373D2">
            <w:pPr>
              <w:jc w:val="center"/>
            </w:pPr>
          </w:p>
        </w:tc>
        <w:tc>
          <w:tcPr>
            <w:tcW w:w="304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Структурные подраздел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ния Администрации, о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>ветственные за разработку документов стратегическ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го планирования</w:t>
            </w: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0"/>
              </w:rPr>
            </w:pPr>
            <w:r>
              <w:rPr>
                <w:rStyle w:val="212pt0"/>
              </w:rPr>
              <w:t>2. В сфере инвестиционной и предпринимательской деятельности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39" w:type="dxa"/>
            <w:vMerge w:val="restart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Разработка НП</w:t>
            </w:r>
            <w:proofErr w:type="gramStart"/>
            <w:r>
              <w:rPr>
                <w:rStyle w:val="212pt"/>
                <w:lang w:val="en-US"/>
              </w:rPr>
              <w:t>A</w:t>
            </w:r>
            <w:proofErr w:type="gramEnd"/>
            <w:r>
              <w:rPr>
                <w:rStyle w:val="212pt"/>
              </w:rPr>
              <w:t>, затраг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вающих вопросы инв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стиционной и предпр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нимательской  деятельн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сти  с нарушениями, вв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дящими избыточные об</w:t>
            </w:r>
            <w:r>
              <w:rPr>
                <w:rStyle w:val="212pt"/>
              </w:rPr>
              <w:t>я</w:t>
            </w:r>
            <w:r>
              <w:rPr>
                <w:rStyle w:val="212pt"/>
              </w:rPr>
              <w:t>занности, запреты и огр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ничения для хозяйству</w:t>
            </w:r>
            <w:r>
              <w:rPr>
                <w:rStyle w:val="212pt"/>
              </w:rPr>
              <w:t>ю</w:t>
            </w:r>
            <w:r>
              <w:rPr>
                <w:rStyle w:val="212pt"/>
              </w:rPr>
              <w:t>щих субъектов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Проведение оценки регулиру</w:t>
            </w:r>
            <w:r>
              <w:rPr>
                <w:rStyle w:val="212pt"/>
              </w:rPr>
              <w:t>ю</w:t>
            </w:r>
            <w:r>
              <w:rPr>
                <w:rStyle w:val="212pt"/>
              </w:rPr>
              <w:t>щего воздействия проектов но</w:t>
            </w:r>
            <w:r>
              <w:rPr>
                <w:rStyle w:val="212pt"/>
              </w:rPr>
              <w:t>р</w:t>
            </w:r>
            <w:r>
              <w:rPr>
                <w:rStyle w:val="212pt"/>
              </w:rPr>
              <w:t>мативно-правовых актов и эк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пертизы нормативно-правовых актов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Выявление и сниж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ние рисков, предо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>вращение и (или</w:t>
            </w:r>
            <w:proofErr w:type="gramStart"/>
            <w:r>
              <w:rPr>
                <w:rStyle w:val="212pt"/>
              </w:rPr>
              <w:t>)в</w:t>
            </w:r>
            <w:proofErr w:type="gramEnd"/>
            <w:r>
              <w:rPr>
                <w:rStyle w:val="212pt"/>
              </w:rPr>
              <w:t>ыявление н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рушений, вводящих избыточные обяза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ности, запреты и о</w:t>
            </w:r>
            <w:r>
              <w:rPr>
                <w:rStyle w:val="212pt"/>
              </w:rPr>
              <w:t>г</w:t>
            </w:r>
            <w:r>
              <w:rPr>
                <w:rStyle w:val="212pt"/>
              </w:rPr>
              <w:t>раничения для хозя</w:t>
            </w:r>
            <w:r>
              <w:rPr>
                <w:rStyle w:val="212pt"/>
              </w:rPr>
              <w:t>й</w:t>
            </w:r>
            <w:r>
              <w:rPr>
                <w:rStyle w:val="212pt"/>
              </w:rPr>
              <w:t>ствующих субъектов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налоговой политики финансового управления, </w:t>
            </w:r>
          </w:p>
          <w:p w:rsidR="00E20C7F" w:rsidRDefault="00E20C7F" w:rsidP="00A373D2">
            <w:pPr>
              <w:jc w:val="center"/>
              <w:rPr>
                <w:rStyle w:val="212pt"/>
                <w:rFonts w:eastAsia="SimSun"/>
              </w:rPr>
            </w:pPr>
            <w:r>
              <w:rPr>
                <w:rStyle w:val="212pt"/>
                <w:rFonts w:eastAsia="SimSun"/>
              </w:rPr>
              <w:t>Структурные подраздел</w:t>
            </w:r>
            <w:r>
              <w:rPr>
                <w:rStyle w:val="212pt"/>
                <w:rFonts w:eastAsia="SimSun"/>
              </w:rPr>
              <w:t>е</w:t>
            </w:r>
            <w:r>
              <w:rPr>
                <w:rStyle w:val="212pt"/>
                <w:rFonts w:eastAsia="SimSun"/>
              </w:rPr>
              <w:t>ния Администрации,  ра</w:t>
            </w:r>
            <w:r>
              <w:rPr>
                <w:rStyle w:val="212pt"/>
                <w:rFonts w:eastAsia="SimSun"/>
              </w:rPr>
              <w:t>з</w:t>
            </w:r>
            <w:r>
              <w:rPr>
                <w:rStyle w:val="212pt"/>
                <w:rFonts w:eastAsia="SimSun"/>
              </w:rPr>
              <w:t>рабатывающие проекты  НПА.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Обеспечение ведения на офиц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альном сайте Администрации разделов «Оценка регулирующ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го воздействия проектов НП</w:t>
            </w:r>
            <w:proofErr w:type="gramStart"/>
            <w:r>
              <w:rPr>
                <w:rStyle w:val="212pt"/>
                <w:lang w:val="en-US"/>
              </w:rPr>
              <w:t>A</w:t>
            </w:r>
            <w:proofErr w:type="gramEnd"/>
            <w:r>
              <w:rPr>
                <w:rStyle w:val="212pt"/>
              </w:rPr>
              <w:t xml:space="preserve"> и экспертиза НПА», «Развитие м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лого и среднего предприним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тельства», «Развитие конкуре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ции и инвестиционной деятел</w:t>
            </w:r>
            <w:r>
              <w:rPr>
                <w:rStyle w:val="212pt"/>
              </w:rPr>
              <w:t>ь</w:t>
            </w:r>
            <w:r>
              <w:rPr>
                <w:rStyle w:val="212pt"/>
              </w:rPr>
              <w:t>ности»</w:t>
            </w:r>
          </w:p>
          <w:p w:rsidR="00E20C7F" w:rsidRDefault="00E20C7F" w:rsidP="00A373D2">
            <w:pPr>
              <w:jc w:val="center"/>
            </w:pP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Обеспечение откр</w:t>
            </w:r>
            <w:r>
              <w:rPr>
                <w:rStyle w:val="212pt"/>
              </w:rPr>
              <w:t>ы</w:t>
            </w:r>
            <w:r>
              <w:rPr>
                <w:rStyle w:val="212pt"/>
              </w:rPr>
              <w:t>тости и доступности информации о  НПА в сфере инвестиц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онной и предприн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мательской деятел</w:t>
            </w:r>
            <w:r>
              <w:rPr>
                <w:rStyle w:val="212pt"/>
              </w:rPr>
              <w:t>ь</w:t>
            </w:r>
            <w:r>
              <w:rPr>
                <w:rStyle w:val="212pt"/>
              </w:rPr>
              <w:t>ности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налоговой политики финансового управления.</w:t>
            </w:r>
          </w:p>
          <w:p w:rsidR="00E20C7F" w:rsidRDefault="00E20C7F" w:rsidP="00A373D2">
            <w:pPr>
              <w:jc w:val="center"/>
            </w:pP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0"/>
              </w:rPr>
            </w:pPr>
            <w:r>
              <w:rPr>
                <w:rStyle w:val="212pt"/>
                <w:b/>
              </w:rPr>
              <w:t>3.</w:t>
            </w:r>
            <w:r>
              <w:rPr>
                <w:rStyle w:val="212pt"/>
              </w:rPr>
              <w:t xml:space="preserve"> </w:t>
            </w:r>
            <w:r>
              <w:rPr>
                <w:rStyle w:val="212pt0"/>
              </w:rPr>
              <w:t>В сфере закупок товаров, работ, услуг дли обеспечении государственных и муниципальных нужд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39" w:type="dxa"/>
            <w:vMerge w:val="restart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Нарушение антимон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польного законодательс</w:t>
            </w:r>
            <w:r>
              <w:rPr>
                <w:rStyle w:val="212pt"/>
              </w:rPr>
              <w:t>т</w:t>
            </w:r>
            <w:r>
              <w:rPr>
                <w:rStyle w:val="212pt"/>
              </w:rPr>
              <w:t>ва</w:t>
            </w:r>
            <w:r>
              <w:t xml:space="preserve"> </w:t>
            </w:r>
            <w:r>
              <w:rPr>
                <w:rStyle w:val="212pt"/>
              </w:rPr>
              <w:t>при осуществлении з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купок товаров, работ, у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луг для обеспечения м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>ниципальных нужд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280" w:after="280" w:line="278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Ограничение количества участников закупки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280" w:after="280" w:line="278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Предоставление преим</w:t>
            </w:r>
            <w:r>
              <w:rPr>
                <w:rStyle w:val="212pt"/>
              </w:rPr>
              <w:t>у</w:t>
            </w:r>
            <w:r>
              <w:rPr>
                <w:rStyle w:val="212pt"/>
              </w:rPr>
              <w:t>ществ отдельным хозя</w:t>
            </w:r>
            <w:r>
              <w:rPr>
                <w:rStyle w:val="212pt"/>
              </w:rPr>
              <w:t>й</w:t>
            </w:r>
            <w:r>
              <w:rPr>
                <w:rStyle w:val="212pt"/>
              </w:rPr>
              <w:t>ствующим субъектам</w:t>
            </w:r>
          </w:p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lastRenderedPageBreak/>
              <w:t>Изучение</w:t>
            </w:r>
          </w:p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правоприменительной практики и мониторинг изменений закон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дательства</w:t>
            </w: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Соблюдение требов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ний при проведении закупок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купок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Регулярное обучение сотрудн</w:t>
            </w:r>
            <w:r>
              <w:rPr>
                <w:rStyle w:val="212pt"/>
              </w:rPr>
              <w:t>и</w:t>
            </w:r>
            <w:r>
              <w:rPr>
                <w:rStyle w:val="212pt"/>
              </w:rPr>
              <w:t>ков, повышение профессионал</w:t>
            </w:r>
            <w:r>
              <w:rPr>
                <w:rStyle w:val="212pt"/>
              </w:rPr>
              <w:t>ь</w:t>
            </w:r>
            <w:r>
              <w:rPr>
                <w:rStyle w:val="212pt"/>
              </w:rPr>
              <w:lastRenderedPageBreak/>
              <w:t>ной квалификации сотрудников  в  сфере  закупок,  членов  коми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сии по закупкам, (самообразов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 xml:space="preserve">ние, повышение квалификации образовательные  мероприятия) </w:t>
            </w:r>
          </w:p>
        </w:tc>
        <w:tc>
          <w:tcPr>
            <w:tcW w:w="2459" w:type="dxa"/>
          </w:tcPr>
          <w:p w:rsidR="00E20C7F" w:rsidRDefault="00E20C7F" w:rsidP="00A373D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lastRenderedPageBreak/>
              <w:t>Повышение уровня правовой грамотн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lastRenderedPageBreak/>
              <w:t>сти сотрудников в сфере закупочной деятельности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купок, члены </w:t>
            </w:r>
            <w:proofErr w:type="spellStart"/>
            <w:r>
              <w:rPr>
                <w:sz w:val="24"/>
                <w:szCs w:val="24"/>
              </w:rPr>
              <w:t>комисии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закупкам</w:t>
            </w: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 сфере принятия решения о проведении торгов в соответствии с земельных законодательством</w:t>
            </w:r>
            <w:proofErr w:type="gramEnd"/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4.1. </w:t>
            </w:r>
          </w:p>
        </w:tc>
        <w:tc>
          <w:tcPr>
            <w:tcW w:w="2939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Ограничение конкуре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ции при принятии реш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 о проведении торгов по продаже: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права на заключение д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говора аренды земельного участка;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-права на заключение д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говоров купли-продажи  земельного участка</w:t>
            </w:r>
          </w:p>
        </w:tc>
        <w:tc>
          <w:tcPr>
            <w:tcW w:w="3711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Разъяснения муниципальным служащим об обязанности нез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медлительно сообщить предст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вителю нанимателя о склонении его к совершению коррупционн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го правонарушения, о мерах о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ветственности за совершение коррупционных правонарушений.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Повышение квалификации 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ботников.</w:t>
            </w:r>
          </w:p>
        </w:tc>
        <w:tc>
          <w:tcPr>
            <w:tcW w:w="2459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рисков за счет повышения уровня компетенции сотрудников при пр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ведении торгов в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ответствии с земел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ным законодательс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вом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имущественным и земельным вопросам</w:t>
            </w: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В сфере принятия решения о передаче (согласовании передачи) муниципального имущества в пользование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93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конкуре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ции/создание необосн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преимуще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предоставлении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имущества (за исключением земельных участков) в пользование юридическим и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 лицам</w:t>
            </w:r>
          </w:p>
        </w:tc>
        <w:tc>
          <w:tcPr>
            <w:tcW w:w="3711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регулярное обучение сотрудн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(самообразование, повыш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квалификации,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мероприятия – семинары,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и т.п.);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периодическое обсуждение на общих собраниях сотрудников «отрицательной» практики</w:t>
            </w:r>
          </w:p>
        </w:tc>
        <w:tc>
          <w:tcPr>
            <w:tcW w:w="245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рисков за счет повышения уровня компетенции сотрудников при принятии решения о передаче (согласов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 передачи)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в пользование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имущественным и земельным вопросам</w:t>
            </w: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В сфере  предоставления государственных и муниципальных услуг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r>
              <w:t>6.1.</w:t>
            </w:r>
          </w:p>
        </w:tc>
        <w:tc>
          <w:tcPr>
            <w:tcW w:w="2939" w:type="dxa"/>
          </w:tcPr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Истребование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тов, непредусмотренных </w:t>
            </w:r>
            <w:proofErr w:type="gramStart"/>
            <w:r>
              <w:rPr>
                <w:sz w:val="24"/>
                <w:szCs w:val="24"/>
              </w:rPr>
              <w:lastRenderedPageBreak/>
              <w:t>действующим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тельствомпри</w:t>
            </w:r>
            <w:proofErr w:type="spellEnd"/>
            <w:r>
              <w:rPr>
                <w:sz w:val="24"/>
                <w:szCs w:val="24"/>
              </w:rPr>
              <w:t xml:space="preserve"> оказании услуг.</w:t>
            </w: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</w:p>
          <w:p w:rsidR="00E20C7F" w:rsidRDefault="00E20C7F" w:rsidP="00A3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платы за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доставление услуг, не предусмотренной 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вующим законодательс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вом.</w:t>
            </w:r>
          </w:p>
        </w:tc>
        <w:tc>
          <w:tcPr>
            <w:tcW w:w="371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административных регламентов</w:t>
            </w:r>
          </w:p>
        </w:tc>
        <w:tc>
          <w:tcPr>
            <w:tcW w:w="2459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тавления преим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 xml:space="preserve">ществ отдельным </w:t>
            </w:r>
            <w:proofErr w:type="spellStart"/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зяйставующим</w:t>
            </w:r>
            <w:proofErr w:type="spellEnd"/>
            <w:r>
              <w:rPr>
                <w:sz w:val="24"/>
                <w:szCs w:val="24"/>
              </w:rPr>
              <w:t xml:space="preserve">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ектам, </w:t>
            </w:r>
            <w:proofErr w:type="spellStart"/>
            <w:r>
              <w:rPr>
                <w:sz w:val="24"/>
                <w:szCs w:val="24"/>
              </w:rPr>
              <w:t>несобдюдения</w:t>
            </w:r>
            <w:proofErr w:type="spellEnd"/>
            <w:r>
              <w:rPr>
                <w:sz w:val="24"/>
                <w:szCs w:val="24"/>
              </w:rPr>
              <w:t xml:space="preserve"> установленных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цедур и затягивания сроков рассмотрения документов</w:t>
            </w:r>
          </w:p>
        </w:tc>
        <w:tc>
          <w:tcPr>
            <w:tcW w:w="1746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оказывающие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ципальные услуги</w:t>
            </w:r>
          </w:p>
        </w:tc>
      </w:tr>
      <w:tr w:rsidR="00E20C7F" w:rsidTr="00A373D2">
        <w:trPr>
          <w:jc w:val="center"/>
        </w:trPr>
        <w:tc>
          <w:tcPr>
            <w:tcW w:w="14493" w:type="dxa"/>
            <w:gridSpan w:val="6"/>
          </w:tcPr>
          <w:p w:rsidR="00E20C7F" w:rsidRDefault="00E20C7F" w:rsidP="00A373D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7.  При разработке и принятии нормативных правовых актов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2939" w:type="dxa"/>
            <w:vMerge w:val="restart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Принятие муниципал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ных правовых актов,  к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торые приводят или могут привести к недопущению, ограничению или устр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нению конкуренции</w:t>
            </w:r>
          </w:p>
        </w:tc>
        <w:tc>
          <w:tcPr>
            <w:tcW w:w="3711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и анализ практики применения антимонопольного законодательства, при необход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мости инициирование внесения необходимых изменений.</w:t>
            </w:r>
          </w:p>
        </w:tc>
        <w:tc>
          <w:tcPr>
            <w:tcW w:w="2459" w:type="dxa"/>
            <w:vMerge w:val="restart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Минимизация рисков за счет повышения уровня компетенции сотрудников при по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готовке проектов м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ниципальных прав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вых актов</w:t>
            </w:r>
          </w:p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41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соответс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вующего</w:t>
            </w:r>
            <w:proofErr w:type="gramEnd"/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структурного подраздел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</w:tr>
      <w:tr w:rsidR="00E20C7F" w:rsidTr="00A373D2">
        <w:trPr>
          <w:trHeight w:val="239"/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правовой экспертизы в отношении нормативных актов,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экспертизы в отношении проектов нормати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ных правовых актов.</w:t>
            </w:r>
          </w:p>
        </w:tc>
        <w:tc>
          <w:tcPr>
            <w:tcW w:w="2459" w:type="dxa"/>
            <w:vMerge/>
          </w:tcPr>
          <w:p w:rsidR="00E20C7F" w:rsidRDefault="00E20C7F" w:rsidP="00A373D2"/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правовым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размещения на официальном сайте администр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ции  и СМИ проекта нормативн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го правового акта.</w:t>
            </w:r>
          </w:p>
        </w:tc>
        <w:tc>
          <w:tcPr>
            <w:tcW w:w="2459" w:type="dxa"/>
            <w:vMerge/>
          </w:tcPr>
          <w:p w:rsidR="00E20C7F" w:rsidRDefault="00E20C7F" w:rsidP="00A373D2"/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Организационно-контрольный отдел</w:t>
            </w:r>
          </w:p>
        </w:tc>
      </w:tr>
      <w:tr w:rsidR="00E20C7F" w:rsidTr="00A373D2">
        <w:trPr>
          <w:jc w:val="center"/>
        </w:trPr>
        <w:tc>
          <w:tcPr>
            <w:tcW w:w="597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2939" w:type="dxa"/>
            <w:vMerge/>
          </w:tcPr>
          <w:p w:rsidR="00E20C7F" w:rsidRDefault="00E20C7F" w:rsidP="00A373D2"/>
        </w:tc>
        <w:tc>
          <w:tcPr>
            <w:tcW w:w="3711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сбора и провед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ние оценки поступивших от о</w:t>
            </w: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ганизаций и граждан замечаний и предложений по проекту норм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тивного правового акта</w:t>
            </w:r>
          </w:p>
        </w:tc>
        <w:tc>
          <w:tcPr>
            <w:tcW w:w="2459" w:type="dxa"/>
            <w:vMerge/>
          </w:tcPr>
          <w:p w:rsidR="00E20C7F" w:rsidRDefault="00E20C7F" w:rsidP="00A373D2"/>
        </w:tc>
        <w:tc>
          <w:tcPr>
            <w:tcW w:w="1746" w:type="dxa"/>
          </w:tcPr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E20C7F" w:rsidRDefault="00E20C7F" w:rsidP="00A3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правовым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E20C7F" w:rsidRDefault="00E20C7F" w:rsidP="00A373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E20C7F" w:rsidRDefault="00E20C7F" w:rsidP="00E20C7F">
      <w:pPr>
        <w:pStyle w:val="6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E20C7F" w:rsidRDefault="00E20C7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sectPr w:rsidR="00E20C7F" w:rsidSect="00E20C7F">
      <w:endnotePr>
        <w:numFmt w:val="decimal"/>
      </w:endnotePr>
      <w:type w:val="continuous"/>
      <w:pgSz w:w="16839" w:h="11907" w:orient="landscape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9D"/>
    <w:multiLevelType w:val="hybridMultilevel"/>
    <w:tmpl w:val="15B648A2"/>
    <w:lvl w:ilvl="0" w:tplc="EA36BE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A18FF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7EF0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DEEB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09EB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62A1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08E9BE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AC4EF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73236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E284A36"/>
    <w:multiLevelType w:val="hybridMultilevel"/>
    <w:tmpl w:val="7D2446BA"/>
    <w:name w:val="Нумерованный список 8"/>
    <w:lvl w:ilvl="0" w:tplc="E2B851E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plc="16806B38">
      <w:numFmt w:val="decimal"/>
      <w:lvlText w:val=""/>
      <w:lvlJc w:val="left"/>
      <w:pPr>
        <w:ind w:left="0" w:firstLine="0"/>
      </w:pPr>
    </w:lvl>
    <w:lvl w:ilvl="2" w:tplc="9E92C0A2">
      <w:numFmt w:val="decimal"/>
      <w:lvlText w:val=""/>
      <w:lvlJc w:val="left"/>
      <w:pPr>
        <w:ind w:left="0" w:firstLine="0"/>
      </w:pPr>
    </w:lvl>
    <w:lvl w:ilvl="3" w:tplc="964ECC54">
      <w:numFmt w:val="decimal"/>
      <w:lvlText w:val=""/>
      <w:lvlJc w:val="left"/>
      <w:pPr>
        <w:ind w:left="0" w:firstLine="0"/>
      </w:pPr>
    </w:lvl>
    <w:lvl w:ilvl="4" w:tplc="2752C142">
      <w:numFmt w:val="decimal"/>
      <w:lvlText w:val=""/>
      <w:lvlJc w:val="left"/>
      <w:pPr>
        <w:ind w:left="0" w:firstLine="0"/>
      </w:pPr>
    </w:lvl>
    <w:lvl w:ilvl="5" w:tplc="723E2E50">
      <w:numFmt w:val="decimal"/>
      <w:lvlText w:val=""/>
      <w:lvlJc w:val="left"/>
      <w:pPr>
        <w:ind w:left="0" w:firstLine="0"/>
      </w:pPr>
    </w:lvl>
    <w:lvl w:ilvl="6" w:tplc="0622BACC">
      <w:numFmt w:val="decimal"/>
      <w:lvlText w:val=""/>
      <w:lvlJc w:val="left"/>
      <w:pPr>
        <w:ind w:left="0" w:firstLine="0"/>
      </w:pPr>
    </w:lvl>
    <w:lvl w:ilvl="7" w:tplc="B7C6DEB6">
      <w:numFmt w:val="decimal"/>
      <w:lvlText w:val=""/>
      <w:lvlJc w:val="left"/>
      <w:pPr>
        <w:ind w:left="0" w:firstLine="0"/>
      </w:pPr>
    </w:lvl>
    <w:lvl w:ilvl="8" w:tplc="7020035A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B33E0E"/>
    <w:rsid w:val="000B4B0C"/>
    <w:rsid w:val="00720B18"/>
    <w:rsid w:val="007E75BF"/>
    <w:rsid w:val="008202CC"/>
    <w:rsid w:val="00B33E0E"/>
    <w:rsid w:val="00CC5A49"/>
    <w:rsid w:val="00D237DB"/>
    <w:rsid w:val="00E2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0E"/>
  </w:style>
  <w:style w:type="paragraph" w:styleId="1">
    <w:name w:val="heading 1"/>
    <w:basedOn w:val="a"/>
    <w:next w:val="a"/>
    <w:qFormat/>
    <w:rsid w:val="00B33E0E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B33E0E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B33E0E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rsid w:val="00B33E0E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</w:rPr>
  </w:style>
  <w:style w:type="paragraph" w:customStyle="1" w:styleId="20">
    <w:name w:val="Основной текст (2)"/>
    <w:basedOn w:val="a"/>
    <w:qFormat/>
    <w:rsid w:val="00B33E0E"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spacing w:before="300" w:after="480" w:line="0" w:lineRule="atLeast"/>
    </w:pPr>
    <w:rPr>
      <w:rFonts w:eastAsia="Times New Roman"/>
      <w:sz w:val="23"/>
      <w:szCs w:val="23"/>
    </w:rPr>
  </w:style>
  <w:style w:type="paragraph" w:customStyle="1" w:styleId="ConsPlusNormal">
    <w:name w:val="ConsPlusNormal"/>
    <w:qFormat/>
    <w:rsid w:val="00B33E0E"/>
    <w:pPr>
      <w:pBdr>
        <w:top w:val="nil"/>
        <w:left w:val="nil"/>
        <w:bottom w:val="nil"/>
        <w:right w:val="nil"/>
        <w:between w:val="nil"/>
      </w:pBdr>
    </w:pPr>
    <w:rPr>
      <w:sz w:val="28"/>
    </w:rPr>
  </w:style>
  <w:style w:type="paragraph" w:styleId="a3">
    <w:name w:val="Balloon Text"/>
    <w:basedOn w:val="a"/>
    <w:link w:val="a4"/>
    <w:uiPriority w:val="99"/>
    <w:rsid w:val="00820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02CC"/>
    <w:rPr>
      <w:rFonts w:ascii="Tahoma" w:hAnsi="Tahoma" w:cs="Tahoma"/>
      <w:sz w:val="16"/>
      <w:szCs w:val="16"/>
    </w:rPr>
  </w:style>
  <w:style w:type="paragraph" w:customStyle="1" w:styleId="6">
    <w:name w:val="Основной текст (6)"/>
    <w:basedOn w:val="a"/>
    <w:qFormat/>
    <w:rsid w:val="00E20C7F"/>
    <w:pPr>
      <w:widowControl/>
      <w:pBdr>
        <w:top w:val="nil"/>
        <w:left w:val="nil"/>
        <w:bottom w:val="nil"/>
        <w:right w:val="nil"/>
        <w:between w:val="nil"/>
      </w:pBdr>
      <w:shd w:val="solid" w:color="FFFFFF" w:fill="auto"/>
      <w:spacing w:before="480" w:after="300" w:line="278" w:lineRule="exact"/>
      <w:jc w:val="center"/>
    </w:pPr>
    <w:rPr>
      <w:rFonts w:eastAsia="Times New Roman"/>
      <w:sz w:val="23"/>
      <w:szCs w:val="23"/>
    </w:rPr>
  </w:style>
  <w:style w:type="character" w:customStyle="1" w:styleId="212pt">
    <w:name w:val="Основной текст (2) + 12 pt"/>
    <w:rsid w:val="00E20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212pt0">
    <w:name w:val="Основной текст (2) + 12 pt;Полужирный"/>
    <w:rsid w:val="00E20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sz w:val="24"/>
      <w:szCs w:val="24"/>
      <w:u w:val="none"/>
      <w:shd w:val="clear" w:color="auto" w:fill="FFFFFF"/>
      <w:vertAlign w:val="baseline"/>
      <w:lang w:val="ru-RU"/>
    </w:rPr>
  </w:style>
  <w:style w:type="table" w:styleId="a5">
    <w:name w:val="Table Grid"/>
    <w:basedOn w:val="a1"/>
    <w:rsid w:val="00E20C7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TitlePag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ahoma" w:hAnsi="Tahoma" w:eastAsia="SimSun" w:cs="Tahoma"/>
      <w:kern w:val="1"/>
      <w:lang w:val="ru-ru" w:eastAsia="zh-cn" w:bidi="ar-sa"/>
    </w:rPr>
  </w:style>
  <w:style w:type="paragraph" w:styleId="para5" w:customStyle="1">
    <w:name w:val="Основной текст (2)"/>
    <w:qFormat/>
    <w:basedOn w:val="para0"/>
    <w:pPr>
      <w:spacing w:before="300" w:after="48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eastAsia="Times New Roman"/>
      <w:sz w:val="23"/>
      <w:szCs w:val="23"/>
    </w:rPr>
  </w:style>
  <w:style w:type="paragraph" w:styleId="para6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SimSun"/>
      <w:kern w:val="1"/>
      <w:sz w:val="28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2423</Words>
  <Characters>13815</Characters>
  <Application>Microsoft Office Word</Application>
  <DocSecurity>0</DocSecurity>
  <Lines>115</Lines>
  <Paragraphs>32</Paragraphs>
  <ScaleCrop>false</ScaleCrop>
  <Company/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Приёмная</cp:lastModifiedBy>
  <cp:revision>10</cp:revision>
  <cp:lastPrinted>2024-02-16T12:57:00Z</cp:lastPrinted>
  <dcterms:created xsi:type="dcterms:W3CDTF">2020-09-02T09:03:00Z</dcterms:created>
  <dcterms:modified xsi:type="dcterms:W3CDTF">2024-02-16T12:57:00Z</dcterms:modified>
</cp:coreProperties>
</file>